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                          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119"/>
        <w:gridCol w:w="8647"/>
        <w:tblGridChange w:id="0">
          <w:tblGrid>
            <w:gridCol w:w="2977"/>
            <w:gridCol w:w="3119"/>
            <w:gridCol w:w="8647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fisico connesso all’attività in palestra e a quella lavorativa; scegliere il comportamento adeguato in presenza di un infortunio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INFORTUNI E MALATTIE PROFESSIONALI, MOVIMENTAZIONE MANUALE DEI CARICHI, MOVIMENTI RIPETITIVI, STRESS LAVORO CORRELATO, EMERGENZE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motorie)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Seconda Liceo Scientifico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Intero a.s.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268"/>
        <w:gridCol w:w="2835"/>
        <w:gridCol w:w="2835"/>
        <w:gridCol w:w="4472"/>
        <w:tblGridChange w:id="0">
          <w:tblGrid>
            <w:gridCol w:w="2376"/>
            <w:gridCol w:w="2268"/>
            <w:gridCol w:w="2835"/>
            <w:gridCol w:w="2835"/>
            <w:gridCol w:w="4472"/>
          </w:tblGrid>
        </w:tblGridChange>
      </w:tblGrid>
      <w:tr>
        <w:trPr>
          <w:trHeight w:val="940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MOD.1, 2 e 3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OSSERVARE e PRENDERE coscienza del proprio corpo e fare una “autoanalisi posturale”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AUTOCORREGGERE la propria postura nella vita quotidiana e lavorativa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MANTENERE l’allineamento della colonna vertebrale durante i movimenti della vita quotidiana e lavorativa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MANTENERE la postura corretta in posizioni statiche della vita quotidiana e lavorativa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SOLLEVARE pesi nel modo corretto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adeguate alla situazione in presenza di un infortunio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LEGISLAZIONE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le posture scorrette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le posture corrette nelle diverse posizioni del corpo (eretta, seduta, in decubito)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Ergonomia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Effetti sulla salute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un infortunio</w:t>
              <w:br w:type="textWrapping"/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Primo soccorso: quello che si può e quello che non si può fare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(Mod.2) - 1.4.1 - Possibili interventi di prevenzione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(Mod.2) - 6.1.1 - Interventi di prevenzione e sistemi di protezione e D.P.I. specifici</w:t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(Mod.2) - 1.3.1 - Analisi di infortuni accaduti e delle loro cause e degli interventi preventivi</w:t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(Mod.3) - 11 - Movimentazione manuale dei carichi, movimenti ripetitivi 11.1.2 - Ergonomia: l’adattamento del posto di lavoro alla persona</w:t>
            </w:r>
          </w:p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(Mod.1) - 9 - </w:t>
            </w:r>
            <w:r w:rsidDel="00000000" w:rsidR="00000000" w:rsidRPr="00000000">
              <w:rPr>
                <w:color w:val="000000"/>
                <w:rtl w:val="0"/>
              </w:rPr>
              <w:t xml:space="preserve">Movimentazione manuale dei carichi e movimenti ripetitivi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9.2 - Rischi specifici</w:t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9.2.2 - Corretta modalità di movimentazione manuale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(Mod.3) - 10 - Stress lavoro correlato</w:t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10.1.3 - Effetti sulla salute</w:t>
            </w:r>
          </w:p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(Mod.2) - 10 - Emergenze</w:t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10.1 - Concetti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10.1.1 - Addetti alle emergenze, antincendio e primo soccorso: diritti e doveri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Lezioni frontali con l’ausilio di slides riguardanti L’apparato muscolo-scheletrico; funzioni, struttura della colonna vertebrale e muscoli posturali.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frontale con l’ausilio di slides riguardanti vizi posturali, dismorfismi e paramorfismi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pratica in palestra riguardante la presa di coscienza della propria postura e di quella del compagno. Simulazione di comportamenti errarti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possono causare dolori  alla  schiena.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pratica in palestra di rieducazione posturale. (esercizi per la prevenzione del mal di schiena, individuali e in coppia)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pratica a gruppi in palestra riguardante la modalità di sollevamento e trasporto attrezzatura pesante e ingombrante.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frontale riguardante i primi elementi di intervento in caso di infortunio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Traumi a carico dell’apparato muscolo-scheletrico.(lezione frontale)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Contusioni, ferite, abrasioni, escoriazioni, distorsioni e lussazioni, fratture composte, scomposte, esposte (lezione frontale e simulazione pratica di situazione di infortunio in palestra)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Attrezzature disponibili in palestra</w:t>
            </w:r>
          </w:p>
          <w:p w:rsidR="00000000" w:rsidDel="00000000" w:rsidP="00000000" w:rsidRDefault="00000000" w:rsidRPr="00000000" w14:paraId="00000056">
            <w:pPr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i w:val="0"/>
                <w:color w:val="0070c0"/>
              </w:rPr>
            </w:pPr>
            <w:r w:rsidDel="00000000" w:rsidR="00000000" w:rsidRPr="00000000">
              <w:rPr>
                <w:rtl w:val="0"/>
              </w:rPr>
              <w:t xml:space="preserve">Croce Rossa Italiana - Progetto BLSD-CRI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https://www.cri.it/flex/cm/pages/ServeBLOB.php/L/IT/IDPagina/2234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Utilizzo di piccoli attrezzi (palle e bastoni)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Centro italiano di ergonomia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http://www.centro-ergonomia.it/ergonomia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Attrezzi disponibili in palestra</w:t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VIDEO SUGGERITI: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ANPAS - Corso di primo soccorso (10 min) -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https://www.youtube.com/watch?v=x69bHum-YP8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</w:t>
            </w:r>
            <w:r w:rsidDel="00000000" w:rsidR="00000000" w:rsidRPr="00000000">
              <w:rPr>
                <w:color w:val="000000"/>
                <w:rtl w:val="0"/>
              </w:rPr>
              <w:t xml:space="preserve"> Tipologie varie atte alla valutazione in itinere delle abilità e delle conoscenze + Test finale pratico in palestra  e teorico (questionario)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15 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480" w:hanging="48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651F4"/>
    <w:rPr>
      <w:rFonts w:eastAsiaTheme="minorEastAsia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99"/>
    <w:qFormat w:val="1"/>
    <w:rsid w:val="005651F4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5651F4"/>
    <w:pPr>
      <w:spacing w:after="0" w:line="240" w:lineRule="auto"/>
    </w:pPr>
    <w:rPr>
      <w:rFonts w:eastAsiaTheme="minorEastAsia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semiHidden w:val="1"/>
    <w:rsid w:val="005651F4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 w:val="1"/>
    <w:unhideWhenUsed w:val="1"/>
    <w:rsid w:val="005651F4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651F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651F4"/>
    <w:rPr>
      <w:rFonts w:ascii="Tahoma" w:cs="Tahoma" w:hAnsi="Tahoma" w:eastAsiaTheme="minorEastAsi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x69bHum-YP8" TargetMode="External"/><Relationship Id="rId9" Type="http://schemas.openxmlformats.org/officeDocument/2006/relationships/hyperlink" Target="http://www.centro-ergonomia.it/ergonomi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ri.it/flex/cm/pages/ServeBLOB.php/L/IT/IDPagina/223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KIq9b0q2wUXqD2UWn6LPCqmSg==">AMUW2mWI+eqnv+fpmXLrp2BfKp/hOGCs1IVZX7ReOR2i409U2U9r3ZIT/xEukoccEugd+Y1Unk2l3w+4vzZpWu6fgq0XBeB3GgyaVM2OxQnnBAorC2FbuZjgK01uSzzcLmewGfVLQbTy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2019-09-11T15:20:00Z</dcterms:created>
  <dc:creator>zanoletti</dc:creator>
</cp:coreProperties>
</file>