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00000000002" w:type="dxa"/>
        <w:jc w:val="left"/>
        <w:tblInd w:w="-72.0" w:type="dxa"/>
        <w:tblLayout w:type="fixed"/>
        <w:tblLook w:val="0400"/>
      </w:tblPr>
      <w:tblGrid>
        <w:gridCol w:w="2977"/>
        <w:gridCol w:w="7655"/>
        <w:gridCol w:w="4111"/>
        <w:tblGridChange w:id="0">
          <w:tblGrid>
            <w:gridCol w:w="2977"/>
            <w:gridCol w:w="7655"/>
            <w:gridCol w:w="4111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1 - Agire responsabilmente in situazioni di emergenza proteggendo sé, gli altri e l’ambiente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CONOSCENZE GENERALI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Umanistica (Italiano, Storia e Geografia, Cittadinanza e Costituzione)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Prima Liceo Scientifico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Intero a.s.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2694"/>
        <w:gridCol w:w="3402"/>
        <w:gridCol w:w="3685"/>
        <w:gridCol w:w="2629"/>
        <w:tblGridChange w:id="0">
          <w:tblGrid>
            <w:gridCol w:w="2376"/>
            <w:gridCol w:w="2694"/>
            <w:gridCol w:w="3402"/>
            <w:gridCol w:w="3685"/>
            <w:gridCol w:w="262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MOD.0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negli aspetti della vita dell’uomo e del cittadino diritti e doveri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CAPIRE l’importanza del rispetto delle norme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RIFLETTERE sull’importanza delle norme sulla sicurezza nei luoghi di lavoro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RICONOSCERE che la scuola è un ambiente governato da norme da rispettare, per il bene proprio e della comunità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MATURARE un atteggiamento orientato alla prevenzione degli incidenti e alla tutela della salute nei vari ambienti della scuola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RIFLETTERE sull’importanza di un ascolto attento e una partecipazione attiva, soprattutto nelle situazioni di emergenza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GESTIONE di un’emergenza in un adolescente. Impulsività influenzamento, razionalità e autocontrollo: come conciliarli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AVERE consapevolezza che in un ambiente di lavoro diverse figure sono responsabili della sicurezza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ACQUISIRE un lessico appropriato e distinguere le caratteristiche del linguaggio verbale e non verbale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LINGUAGGIO dei media e la cultura della sicurezza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LEGISLAZIONE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00" w:right="0" w:hanging="50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Differenza tra “diritto” e “dovere”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ind w:left="500" w:hanging="500"/>
              <w:rPr/>
            </w:pPr>
            <w:r w:rsidDel="00000000" w:rsidR="00000000" w:rsidRPr="00000000">
              <w:rPr>
                <w:rtl w:val="0"/>
              </w:rPr>
              <w:t xml:space="preserve"> la Costituzione della Repubblica italiana, in particolare gli articoli 2, 4, 32, 38, 46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4"/>
              </w:numPr>
              <w:ind w:left="500" w:hanging="500"/>
              <w:rPr/>
            </w:pPr>
            <w:r w:rsidDel="00000000" w:rsidR="00000000" w:rsidRPr="00000000">
              <w:rPr>
                <w:rtl w:val="0"/>
              </w:rPr>
              <w:t xml:space="preserve">le norme sulla sicurezza, in particolare il D. L.vo 81/2008 e i suoi campi di applicazione 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500" w:hanging="500"/>
              <w:rPr/>
            </w:pPr>
            <w:r w:rsidDel="00000000" w:rsidR="00000000" w:rsidRPr="00000000">
              <w:rPr>
                <w:rtl w:val="0"/>
              </w:rPr>
              <w:t xml:space="preserve">Scuola: ambiente “di lavoro”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500" w:hanging="500"/>
              <w:rPr/>
            </w:pPr>
            <w:r w:rsidDel="00000000" w:rsidR="00000000" w:rsidRPr="00000000">
              <w:rPr>
                <w:rtl w:val="0"/>
              </w:rPr>
              <w:t xml:space="preserve">Il significato di lavoro e “luogo di lavoro” nella sua evoluzione storica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ind w:left="500" w:hanging="500"/>
              <w:rPr/>
            </w:pPr>
            <w:r w:rsidDel="00000000" w:rsidR="00000000" w:rsidRPr="00000000">
              <w:rPr>
                <w:rtl w:val="0"/>
              </w:rPr>
              <w:t xml:space="preserve">le </w:t>
            </w:r>
            <w:r w:rsidDel="00000000" w:rsidR="00000000" w:rsidRPr="00000000">
              <w:rPr>
                <w:rtl w:val="0"/>
              </w:rPr>
              <w:t xml:space="preserve">differenze tra i vari ambienti di lavoro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ind w:left="500" w:hanging="500"/>
              <w:rPr/>
            </w:pPr>
            <w:r w:rsidDel="00000000" w:rsidR="00000000" w:rsidRPr="00000000">
              <w:rPr>
                <w:rtl w:val="0"/>
              </w:rPr>
              <w:t xml:space="preserve"> il concetto di “qualità di vita lavorativa”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5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ind w:left="500" w:hanging="500"/>
              <w:rPr/>
            </w:pPr>
            <w:r w:rsidDel="00000000" w:rsidR="00000000" w:rsidRPr="00000000">
              <w:rPr>
                <w:rtl w:val="0"/>
              </w:rPr>
              <w:t xml:space="preserve">la </w:t>
            </w:r>
            <w:r w:rsidDel="00000000" w:rsidR="00000000" w:rsidRPr="00000000">
              <w:rPr>
                <w:rtl w:val="0"/>
              </w:rPr>
              <w:t xml:space="preserve">differenza tra rischio e pericolo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ind w:left="500" w:hanging="500"/>
              <w:rPr/>
            </w:pPr>
            <w:r w:rsidDel="00000000" w:rsidR="00000000" w:rsidRPr="00000000">
              <w:rPr>
                <w:rtl w:val="0"/>
              </w:rPr>
              <w:t xml:space="preserve">i comportamenti a rischio e quelli virtuosi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4"/>
              </w:numPr>
              <w:ind w:left="500" w:hanging="500"/>
              <w:rPr/>
            </w:pPr>
            <w:r w:rsidDel="00000000" w:rsidR="00000000" w:rsidRPr="00000000">
              <w:rPr>
                <w:rtl w:val="0"/>
              </w:rPr>
              <w:t xml:space="preserve">gli stati d’animo e le emozioni, soprattutto in situazioni difficili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il ruolo delle figure preposte alla sicurezza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1 - Conoscenze generali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1.1 - Normativa di sicurezza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1.1.1 - Conoscere i principali contenuti normativi (diritto alla salute e integrità fisica dei lavoratori nella Costituzione e nel cod. civ.), la normativa comunitaria e la sua attuazione, in particolare il D.lgs 81/2008 – Testo unico sulla salute e sicurezza sul lavoro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1.1.2 - Campo di applicazione del D.lgs 81/2008</w:t>
            </w:r>
          </w:p>
          <w:p w:rsidR="00000000" w:rsidDel="00000000" w:rsidP="00000000" w:rsidRDefault="00000000" w:rsidRPr="00000000" w14:paraId="00000066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1.1.3 - I comportamenti eticamente responsabili per la tutela della salute, incolumità degli individui e della protezione dell'ambiente</w:t>
            </w:r>
          </w:p>
          <w:p w:rsidR="00000000" w:rsidDel="00000000" w:rsidP="00000000" w:rsidRDefault="00000000" w:rsidRPr="00000000" w14:paraId="0000007F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1.2 - Primi  termini della sicurezza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1.2.1 - Le figure del sistema sicurezza: lavoratore, datore di lavoro, azienda, dirigente, preposto, responsabile del servizio di prevenzione (RSPP), addetto al servizio di prevenzione (ASPP), medico competente, rappresentante del lavoratori (RLS), servizio di prevenzione e protezione (SPP)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1.2.2 - Designazione dei lavoratori per l’attuazione delle misure di prevenzione incendi e lotta antincendio, di evacuazione dei luoghi di lavoro, di salvataggio, di primo soccorso e di gestione dell’emergenza</w:t>
            </w:r>
          </w:p>
          <w:p w:rsidR="00000000" w:rsidDel="00000000" w:rsidP="00000000" w:rsidRDefault="00000000" w:rsidRPr="00000000" w14:paraId="0000009D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1.6 - Segnaletica di sicurezza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1.6.1 - L' efficacia della segnaletica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1.6.2 - I colori della sicurezza: rosso, giallo o giallo arancio, azzurro, verde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1.6.3 - Dispositivi e impianti antincendio della scuola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1.6.4 - Segnaletica dei dispositivi e impianti antincendio</w:t>
            </w:r>
          </w:p>
          <w:p w:rsidR="00000000" w:rsidDel="00000000" w:rsidP="00000000" w:rsidRDefault="00000000" w:rsidRPr="00000000" w14:paraId="000000A3">
            <w:pPr>
              <w:ind w:left="3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1.7 - Piano di evacuazione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1.7.3 - Le figure di gestione del piano di evacuazione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1.7.5 - Uscite di emergenza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nell’ambito di Cittadinanza e Costituzione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Libera associazione di idee. Organizzazione delle idee in una mappa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guidata degli articoli del testo costituzionale selezionati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Storia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nell</w:t>
            </w:r>
            <w:r w:rsidDel="00000000" w:rsidR="00000000" w:rsidRPr="00000000">
              <w:rPr>
                <w:rtl w:val="0"/>
              </w:rPr>
              <w:t xml:space="preserve">’  ambito di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Geografia e Cittadinanza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Discussione guidata finalizzata al reperimento di esempi (anche legati allo studio della storia delle antiche civiltà) di ambienti di vita e di lavoro</w:t>
            </w:r>
          </w:p>
          <w:p w:rsidR="00000000" w:rsidDel="00000000" w:rsidP="00000000" w:rsidRDefault="00000000" w:rsidRPr="00000000" w14:paraId="000000BA">
            <w:pPr>
              <w:ind w:left="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Libera associazione di idee e Riflessione guidata ( oppure intervista  e successiva restituzione)</w:t>
            </w:r>
            <w:r w:rsidDel="00000000" w:rsidR="00000000" w:rsidRPr="00000000">
              <w:rPr>
                <w:rtl w:val="0"/>
              </w:rPr>
              <w:t xml:space="preserve">per 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efinire oggi i parametri di riferimento per definire la qualità della vita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QU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di grafici e statistiche</w:t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Italian</w:t>
            </w:r>
            <w:r w:rsidDel="00000000" w:rsidR="00000000" w:rsidRPr="00000000">
              <w:rPr>
                <w:highlight w:val="yellow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  <w:t xml:space="preserve">ell’ambito di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Cittadinanza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Libera associazione di idee. Riflessione guidata sui comportamenti adeguati e non</w:t>
            </w:r>
          </w:p>
          <w:p w:rsidR="00000000" w:rsidDel="00000000" w:rsidP="00000000" w:rsidRDefault="00000000" w:rsidRPr="00000000" w14:paraId="000000C4">
            <w:pPr>
              <w:ind w:left="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Visione di un film e discussione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Simulare situazioni di pericolo e attivare comportamenti idonei. Esercitarsi con il piano di evacuazione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Discussione di gruppo e relazione degli interventi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lian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Intervista al responsabile del servizio di prevenzione della scuola</w:t>
            </w:r>
          </w:p>
          <w:p w:rsidR="00000000" w:rsidDel="00000000" w:rsidP="00000000" w:rsidRDefault="00000000" w:rsidRPr="00000000" w14:paraId="000000CE">
            <w:pPr>
              <w:ind w:left="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11. R</w:t>
            </w:r>
            <w:r w:rsidDel="00000000" w:rsidR="00000000" w:rsidRPr="00000000">
              <w:rPr>
                <w:rtl w:val="0"/>
              </w:rPr>
              <w:t xml:space="preserve">icerca e raccolta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dei vocaboli e dei segni grafici relativi alla sicurezza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92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QU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Role Playing: i vari attori della sicurezza nella scuola. I responsabili della sicurezza nella classe. Precisazione dei ruoli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talia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200" w:line="276" w:lineRule="auto"/>
              <w:ind w:hanging="720"/>
              <w:rPr/>
            </w:pPr>
            <w:r w:rsidDel="00000000" w:rsidR="00000000" w:rsidRPr="00000000">
              <w:rPr>
                <w:rtl w:val="0"/>
              </w:rPr>
              <w:t xml:space="preserve">eldi  Cinell’ambito di Cittadinanza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Gioco: Caccia al tesoro con le parole della sicurezza. Obiettivo: conoscere il lessico preciso, riconoscere la segnaletica per destreggiarsi in situazioni di pericolo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Produzione di un video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“A scuola di sicurezza”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Costituzione della Repubblica Italiana</w:t>
            </w:r>
          </w:p>
          <w:p w:rsidR="00000000" w:rsidDel="00000000" w:rsidP="00000000" w:rsidRDefault="00000000" w:rsidRPr="00000000" w14:paraId="000000DA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D. Legislativo  81/2008</w:t>
            </w:r>
          </w:p>
          <w:p w:rsidR="00000000" w:rsidDel="00000000" w:rsidP="00000000" w:rsidRDefault="00000000" w:rsidRPr="00000000" w14:paraId="000000DB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Style w:val="Heading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Libri di testo in adozione</w:t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VIDEO SUGGERITI: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I film di Napo -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https://www.napofilm.net/it/napos-films/films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Piano di evacuazione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Testo di antologia o letture mirate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VIDEO SUGGERITI:</w:t>
              <w:br w:type="textWrapping"/>
            </w:r>
            <w:r w:rsidDel="00000000" w:rsidR="00000000" w:rsidRPr="00000000">
              <w:rPr>
                <w:rtl w:val="0"/>
              </w:rPr>
              <w:t xml:space="preserve">I film di Napo -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https://www.napofilm.net/it/napos-films/films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 due prodotti Gioco e filmato) costituiscono materiale di verifica delle conoscenze e delle abilità acquisite, in relazione allo sviluppo della competenza attesa + Gli studenti saranno sottoposti ad un test online creato su “Kahoout.it” -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https://create.kahoot.it/?_ga=1.52921192.1948394694.1457778820&amp;deviceId=d8d03a0e-6a2e-4b6d-97c9-4d7f4b052a3f#quiz/d8a12994-137b-4de1-86c2-a01f060f4ca3/done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variabile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12-15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ind w:firstLine="708"/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1906" w:w="16838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500" w:hanging="50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"/>
      <w:lvlJc w:val="left"/>
      <w:pPr>
        <w:ind w:left="500" w:hanging="500"/>
      </w:pPr>
      <w:rPr/>
    </w:lvl>
    <w:lvl w:ilvl="2">
      <w:start w:val="1"/>
      <w:numFmt w:val="decimal"/>
      <w:lvlText w:val="●.%2.%3"/>
      <w:lvlJc w:val="left"/>
      <w:pPr>
        <w:ind w:left="720" w:hanging="720"/>
      </w:pPr>
      <w:rPr/>
    </w:lvl>
    <w:lvl w:ilvl="3">
      <w:start w:val="1"/>
      <w:numFmt w:val="decimal"/>
      <w:lvlText w:val="●.%2.%3.%4"/>
      <w:lvlJc w:val="left"/>
      <w:pPr>
        <w:ind w:left="720" w:hanging="720"/>
      </w:pPr>
      <w:rPr/>
    </w:lvl>
    <w:lvl w:ilvl="4">
      <w:start w:val="1"/>
      <w:numFmt w:val="decimal"/>
      <w:lvlText w:val="●.%2.%3.%4.%5"/>
      <w:lvlJc w:val="left"/>
      <w:pPr>
        <w:ind w:left="1080" w:hanging="1080"/>
      </w:pPr>
      <w:rPr/>
    </w:lvl>
    <w:lvl w:ilvl="5">
      <w:start w:val="1"/>
      <w:numFmt w:val="decimal"/>
      <w:lvlText w:val="●.%2.%3.%4.%5.%6"/>
      <w:lvlJc w:val="left"/>
      <w:pPr>
        <w:ind w:left="1080" w:hanging="1080"/>
      </w:pPr>
      <w:rPr/>
    </w:lvl>
    <w:lvl w:ilvl="6">
      <w:start w:val="1"/>
      <w:numFmt w:val="decimal"/>
      <w:lvlText w:val="●.%2.%3.%4.%5.%6.%7"/>
      <w:lvlJc w:val="left"/>
      <w:pPr>
        <w:ind w:left="1440" w:hanging="1440"/>
      </w:pPr>
      <w:rPr/>
    </w:lvl>
    <w:lvl w:ilvl="7">
      <w:start w:val="1"/>
      <w:numFmt w:val="decimal"/>
      <w:lvlText w:val="●.%2.%3.%4.%5.%6.%7.%8"/>
      <w:lvlJc w:val="left"/>
      <w:pPr>
        <w:ind w:left="1440" w:hanging="1440"/>
      </w:pPr>
      <w:rPr/>
    </w:lvl>
    <w:lvl w:ilvl="8">
      <w:start w:val="1"/>
      <w:numFmt w:val="decimal"/>
      <w:lvlText w:val="●.%2.%3.%4.%5.%6.%7.%8.%9"/>
      <w:lvlJc w:val="left"/>
      <w:pPr>
        <w:ind w:left="1440" w:hanging="14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500" w:hanging="50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●.%2"/>
      <w:lvlJc w:val="left"/>
      <w:pPr>
        <w:ind w:left="500" w:hanging="500"/>
      </w:pPr>
      <w:rPr/>
    </w:lvl>
    <w:lvl w:ilvl="2">
      <w:start w:val="1"/>
      <w:numFmt w:val="decimal"/>
      <w:lvlText w:val="●.%2.%3"/>
      <w:lvlJc w:val="left"/>
      <w:pPr>
        <w:ind w:left="720" w:hanging="720"/>
      </w:pPr>
      <w:rPr/>
    </w:lvl>
    <w:lvl w:ilvl="3">
      <w:start w:val="1"/>
      <w:numFmt w:val="decimal"/>
      <w:lvlText w:val="●.%2.%3.%4"/>
      <w:lvlJc w:val="left"/>
      <w:pPr>
        <w:ind w:left="720" w:hanging="720"/>
      </w:pPr>
      <w:rPr/>
    </w:lvl>
    <w:lvl w:ilvl="4">
      <w:start w:val="1"/>
      <w:numFmt w:val="decimal"/>
      <w:lvlText w:val="●.%2.%3.%4.%5"/>
      <w:lvlJc w:val="left"/>
      <w:pPr>
        <w:ind w:left="1080" w:hanging="1080"/>
      </w:pPr>
      <w:rPr/>
    </w:lvl>
    <w:lvl w:ilvl="5">
      <w:start w:val="1"/>
      <w:numFmt w:val="decimal"/>
      <w:lvlText w:val="●.%2.%3.%4.%5.%6"/>
      <w:lvlJc w:val="left"/>
      <w:pPr>
        <w:ind w:left="1080" w:hanging="1080"/>
      </w:pPr>
      <w:rPr/>
    </w:lvl>
    <w:lvl w:ilvl="6">
      <w:start w:val="1"/>
      <w:numFmt w:val="decimal"/>
      <w:lvlText w:val="●.%2.%3.%4.%5.%6.%7"/>
      <w:lvlJc w:val="left"/>
      <w:pPr>
        <w:ind w:left="1440" w:hanging="1440"/>
      </w:pPr>
      <w:rPr/>
    </w:lvl>
    <w:lvl w:ilvl="7">
      <w:start w:val="1"/>
      <w:numFmt w:val="decimal"/>
      <w:lvlText w:val="●.%2.%3.%4.%5.%6.%7.%8"/>
      <w:lvlJc w:val="left"/>
      <w:pPr>
        <w:ind w:left="1440" w:hanging="1440"/>
      </w:pPr>
      <w:rPr/>
    </w:lvl>
    <w:lvl w:ilvl="8">
      <w:start w:val="1"/>
      <w:numFmt w:val="decimal"/>
      <w:lvlText w:val="●.%2.%3.%4.%5.%6.%7.%8.%9"/>
      <w:lvlJc w:val="left"/>
      <w:pPr>
        <w:ind w:left="1440" w:hanging="1440"/>
      </w:pPr>
      <w:rPr/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5E75A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5E75A5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5E75A5"/>
    <w:rPr>
      <w:color w:val="0000ff"/>
      <w:u w:val="single"/>
    </w:rPr>
  </w:style>
  <w:style w:type="character" w:styleId="watch-title" w:customStyle="1">
    <w:name w:val="watch-title"/>
    <w:basedOn w:val="Carpredefinitoparagrafo"/>
    <w:rsid w:val="00CB189D"/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52423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create.kahoot.it/?_ga=1.52921192.1948394694.1457778820&amp;deviceId=d8d03a0e-6a2e-4b6d-97c9-4d7f4b052a3f#quiz/d8a12994-137b-4de1-86c2-a01f060f4ca3/done" TargetMode="External"/><Relationship Id="rId9" Type="http://schemas.openxmlformats.org/officeDocument/2006/relationships/hyperlink" Target="https://www.napofilm.net/it/napos-films/film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napofilm.net/it/napos-films/film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Z+5rNf8JVDCDLWFBYBbuzonR2Q==">AMUW2mXkz5KSwhWxQSKdIFa7211l4be30MOcgFrB6gJnkZf+/tFEpYoml6epuIplaQDi3TEm9e3Vp+/zLmI4L62p6IGiMw/FAbOx7Bbb2ch2GX6xEY286IF8aveECRs4NNYjAPd61k+jo0MumIHa/4DOMA0O4uQqSg==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2019-08-07T09:37:00Z</dcterms:created>
  <dc:creator>polito</dc:creator>
</cp:coreProperties>
</file>